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A5E" w:rsidRPr="00925DC8" w:rsidRDefault="0046014F" w:rsidP="00EC0AC0">
      <w:pPr>
        <w:rPr>
          <w:b/>
          <w:sz w:val="28"/>
          <w:szCs w:val="2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21399" cy="586739"/>
                <wp:effectExtent l="0" t="0" r="13335" b="2349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399" cy="586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A5E" w:rsidRPr="009C04C3" w:rsidRDefault="0046014F" w:rsidP="008F0A5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FORMATO N° 04-A</w:t>
                            </w:r>
                            <w:r w:rsidR="008F0A5E"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8F0A5E" w:rsidRPr="009C04C3" w:rsidRDefault="00EC0AC0" w:rsidP="00EC0AC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</w:pPr>
                            <w:r w:rsidRPr="009C04C3"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4"/>
                              </w:rPr>
                              <w:t>INDICADOR DE BRECHA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82pt;height:46.2pt;z-index:251657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">
                <v:textbox>
                  <w:txbxContent>
                    <w:p w:rsidR="008F0A5E" w:rsidRPr="009C04C3" w:rsidRDefault="0046014F" w:rsidP="008F0A5E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FORMATO N° 04-A</w:t>
                      </w:r>
                      <w:r w:rsidR="008F0A5E"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:</w:t>
                      </w:r>
                    </w:p>
                    <w:p w:rsidR="008F0A5E" w:rsidRPr="009C04C3" w:rsidRDefault="00EC0AC0" w:rsidP="00EC0AC0">
                      <w:pPr>
                        <w:jc w:val="center"/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</w:pPr>
                      <w:r w:rsidRPr="009C04C3"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4"/>
                        </w:rPr>
                        <w:t>INDICADOR DE BRECHA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96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200"/>
      </w:tblGrid>
      <w:tr w:rsidR="00596CE6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596CE6" w:rsidRPr="00C74079" w:rsidRDefault="00596CE6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Nombre de la entidad pública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596CE6" w:rsidRPr="00C74079" w:rsidRDefault="00F56A78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MUNICIPALIDAD DISTRITAL DE BELLAVISTA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Sector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F56A78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INTERIOR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E46C61">
            <w:pPr>
              <w:spacing w:after="0" w:line="240" w:lineRule="auto"/>
              <w:ind w:right="33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Función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F56A78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05 ORDEN PUBLICO Y SEGURIDAD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División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F56A78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014 ORDEN INTERIOR</w:t>
            </w:r>
          </w:p>
        </w:tc>
      </w:tr>
      <w:tr w:rsidR="006331BD" w:rsidRPr="00C74079" w:rsidTr="009B2399">
        <w:trPr>
          <w:trHeight w:val="300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>Grupo funcional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0A6746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0031 SEGURIDAD VECINAL Y COMUNAL</w:t>
            </w:r>
          </w:p>
        </w:tc>
      </w:tr>
      <w:tr w:rsidR="006331BD" w:rsidRPr="00C74079" w:rsidTr="009B2399">
        <w:trPr>
          <w:trHeight w:val="282"/>
        </w:trPr>
        <w:tc>
          <w:tcPr>
            <w:tcW w:w="3435" w:type="dxa"/>
            <w:shd w:val="clear" w:color="auto" w:fill="auto"/>
          </w:tcPr>
          <w:p w:rsidR="006331BD" w:rsidRPr="00C74079" w:rsidRDefault="006331BD" w:rsidP="006B4FFF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C74079">
              <w:rPr>
                <w:rFonts w:ascii="Arial" w:hAnsi="Arial"/>
                <w:b/>
                <w:sz w:val="20"/>
              </w:rPr>
              <w:t xml:space="preserve">Servicio </w:t>
            </w:r>
            <w:r w:rsidR="00925DC8" w:rsidRPr="00C74079">
              <w:rPr>
                <w:rFonts w:ascii="Arial" w:hAnsi="Arial"/>
                <w:b/>
                <w:sz w:val="20"/>
              </w:rPr>
              <w:t>público</w:t>
            </w:r>
            <w:r w:rsidRPr="00C74079">
              <w:rPr>
                <w:rFonts w:ascii="Arial" w:hAnsi="Arial"/>
                <w:b/>
                <w:sz w:val="20"/>
              </w:rPr>
              <w:t xml:space="preserve"> asociado</w:t>
            </w:r>
            <w:r w:rsidR="000A4A3D" w:rsidRPr="00C74079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6200" w:type="dxa"/>
            <w:shd w:val="clear" w:color="auto" w:fill="auto"/>
          </w:tcPr>
          <w:p w:rsidR="006331BD" w:rsidRPr="00C74079" w:rsidRDefault="000A6746" w:rsidP="006B4FFF">
            <w:pPr>
              <w:spacing w:after="0" w:line="240" w:lineRule="auto"/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Servicio de Seguridad Ciudadana Local</w:t>
            </w:r>
          </w:p>
        </w:tc>
      </w:tr>
    </w:tbl>
    <w:p w:rsidR="00596CE6" w:rsidRDefault="00596CE6" w:rsidP="00596CE6">
      <w:pPr>
        <w:rPr>
          <w:rFonts w:ascii="Arial" w:hAnsi="Arial"/>
          <w:bCs/>
        </w:rPr>
      </w:pPr>
    </w:p>
    <w:tbl>
      <w:tblPr>
        <w:tblW w:w="9639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39"/>
      </w:tblGrid>
      <w:tr w:rsidR="00A94F65" w:rsidRPr="009B2399" w:rsidTr="001851CA">
        <w:trPr>
          <w:cantSplit/>
          <w:trHeight w:val="46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pStyle w:val="Ttulo1"/>
              <w:jc w:val="left"/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</w:pPr>
            <w:r w:rsidRPr="009B2399">
              <w:rPr>
                <w:rFonts w:ascii="Arial" w:hAnsi="Arial" w:cs="Arial"/>
                <w:smallCaps w:val="0"/>
                <w:color w:val="FFFFFF"/>
                <w:sz w:val="22"/>
                <w:szCs w:val="20"/>
              </w:rPr>
              <w:t>Nombre del Indicador</w:t>
            </w:r>
          </w:p>
        </w:tc>
      </w:tr>
      <w:tr w:rsidR="00A94F65" w:rsidRPr="009B2399" w:rsidTr="00496B57">
        <w:trPr>
          <w:cantSplit/>
          <w:trHeight w:val="824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F65" w:rsidRDefault="000A674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N° de sectores a nivel del Distrito que no cuentan con adecuados medios de vigilancia</w:t>
            </w:r>
          </w:p>
          <w:p w:rsidR="009615F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Ámbito de control (Nivel de objetivo de la matriz lógica)</w:t>
            </w:r>
          </w:p>
          <w:p w:rsidR="009615F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Resultados específicos favorecidos por el servicio:</w:t>
            </w:r>
          </w:p>
          <w:p w:rsidR="009615F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Porcentaje de viviendas urbanas afectadas por robo de los últimos doce meses</w:t>
            </w:r>
          </w:p>
          <w:p w:rsidR="009615F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Tasa de faltas por cada 100 mil habitantes</w:t>
            </w:r>
          </w:p>
          <w:p w:rsidR="009615F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Incluir la lista de pliegos que ejecutan inversiones en el marco presupuestal, de ser el caso:</w:t>
            </w:r>
          </w:p>
          <w:p w:rsidR="009615F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Pliego 007:Ministerio del Interior</w:t>
            </w:r>
          </w:p>
          <w:p w:rsidR="000A6746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Pliego 15013: Municipalidad Distrital de Bellavista.</w:t>
            </w:r>
          </w:p>
          <w:p w:rsidR="009615F6" w:rsidRPr="009B2399" w:rsidRDefault="009615F6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A94F65" w:rsidRPr="009B2399" w:rsidTr="00DC0FEF">
        <w:trPr>
          <w:cantSplit/>
          <w:trHeight w:val="407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0A6746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>
              <w:rPr>
                <w:rFonts w:ascii="Arial" w:hAnsi="Arial"/>
                <w:b/>
                <w:snapToGrid w:val="0"/>
                <w:color w:val="FFFFFF"/>
                <w:szCs w:val="20"/>
              </w:rPr>
              <w:t>DEFINICION</w:t>
            </w:r>
          </w:p>
        </w:tc>
      </w:tr>
      <w:tr w:rsidR="00A94F65" w:rsidRPr="009B2399" w:rsidTr="005A79A9">
        <w:trPr>
          <w:cantSplit/>
          <w:trHeight w:val="1719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0A8" w:rsidRDefault="000A6746" w:rsidP="000A6746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El indicador mide el número de sectores a nivel de distrito que no cuenta con los adecuados medios de vigilancia en sus diferentes modalidades y/o formas como cámaras de seguridad patrullaje integrado, servicio de serenazgo, vehículos motorizados, etc. De acuerdo a la Ley N° 27933 </w:t>
            </w:r>
            <w:r w:rsidR="00496191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(Ley de sist</w:t>
            </w:r>
            <w:r w:rsidR="009615F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ema nacional de seguridad Ciuda</w:t>
            </w:r>
            <w:r w:rsidR="00496191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dana, art.2)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9615F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se define a la seguridad ciudadana </w:t>
            </w:r>
            <w:r w:rsidR="001970A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como:</w:t>
            </w:r>
            <w:r w:rsidR="009615F6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“La acción integrada que desarrolla el Estado, con la colaboración de la ciudadanía, destinada a segura su convivencia pacífica, la erradicación de la violencia </w:t>
            </w:r>
            <w:r w:rsidR="001970A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y la utilización pacífica de las vías y espacios públicos. Del mismo modo, contribuir a la prevención de la comisión de delitos y faltas.” Luego según el Plan Nacional de Seguridad Ciudadana 2013-2018, se deben proveer servicios a la ciudadanía teniendo en cuenta 4 factores claves: </w:t>
            </w:r>
          </w:p>
          <w:p w:rsidR="001970A8" w:rsidRPr="001970A8" w:rsidRDefault="001970A8" w:rsidP="001970A8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1970A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La prevención de la violencia y el 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delito – La rehabilitación y reinserción social.- La atención a las víctimas. Este indicador se define en el marco de los lineamientos para la</w:t>
            </w:r>
            <w:r w:rsidR="002604C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elaboración de estudios de Proyectos de Inversión de estudios de Proyectos de Inversión Pública de servicios de Seguridad Ciudadana publicados por el ministerio de Economía y Finanzas. Cabe indicar que los indicadores más comunes que buscan  medir brechas en seguridad ciudadana están orientadas a medir la situación de inseguridad ,la violencia y el delito , estos indicadores son : - victimización tasa de homicidio – Percepción de inseguridad.- Confianza en las instituciones encargadas de la se</w:t>
            </w: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2604CC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seguridad.</w:t>
            </w:r>
          </w:p>
          <w:p w:rsidR="00A94F65" w:rsidRPr="001970A8" w:rsidRDefault="001970A8" w:rsidP="001970A8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 w:rsidRPr="001970A8"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  </w:t>
            </w:r>
          </w:p>
        </w:tc>
      </w:tr>
      <w:tr w:rsidR="00A94F65" w:rsidRPr="009B2399" w:rsidTr="00C6209D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A94F6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Unidad Productora del Servicio</w:t>
            </w:r>
          </w:p>
        </w:tc>
      </w:tr>
      <w:tr w:rsidR="006E4588" w:rsidRPr="009B2399" w:rsidTr="00346300">
        <w:trPr>
          <w:cantSplit/>
          <w:trHeight w:val="72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4588" w:rsidRPr="00A26C32" w:rsidRDefault="00A26C32" w:rsidP="00DC0FEF">
            <w:pPr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</w:rPr>
              <w:t>Gerencia de Seguridad Ciudadana</w:t>
            </w:r>
          </w:p>
        </w:tc>
      </w:tr>
      <w:tr w:rsidR="006E4588" w:rsidRPr="009B2399" w:rsidTr="00C6209D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46300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Dimensión de desempeño</w:t>
            </w:r>
          </w:p>
          <w:p w:rsidR="006E4588" w:rsidRPr="009B2399" w:rsidRDefault="00346300" w:rsidP="00346300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(Indicar si es indicador de cobertura o calidad)</w:t>
            </w:r>
          </w:p>
        </w:tc>
      </w:tr>
      <w:tr w:rsidR="00674563" w:rsidRPr="009B2399" w:rsidTr="00346300">
        <w:trPr>
          <w:cantSplit/>
          <w:trHeight w:val="710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4563" w:rsidRPr="009B2399" w:rsidRDefault="002604CC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El indicador es de calidad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9A315A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Unidad de Medida</w:t>
            </w:r>
          </w:p>
        </w:tc>
      </w:tr>
      <w:tr w:rsidR="00805C51" w:rsidRPr="009B2399" w:rsidTr="00346300">
        <w:trPr>
          <w:cantSplit/>
          <w:trHeight w:val="5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C51" w:rsidRPr="002604CC" w:rsidRDefault="002604CC" w:rsidP="00DC0FEF">
            <w:pPr>
              <w:spacing w:after="0" w:line="240" w:lineRule="auto"/>
              <w:rPr>
                <w:rFonts w:ascii="Arial" w:hAnsi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b/>
                <w:snapToGrid w:val="0"/>
                <w:sz w:val="20"/>
                <w:szCs w:val="20"/>
              </w:rPr>
              <w:t>N° de sector</w:t>
            </w:r>
          </w:p>
        </w:tc>
      </w:tr>
      <w:tr w:rsidR="00E65737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E65737" w:rsidRPr="009B2399" w:rsidRDefault="00E65737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Valor del Indicador</w:t>
            </w:r>
          </w:p>
        </w:tc>
      </w:tr>
      <w:tr w:rsidR="005D6B45" w:rsidRPr="009B2399" w:rsidTr="009B2399">
        <w:trPr>
          <w:cantSplit/>
          <w:trHeight w:val="278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B8" w:rsidRPr="009B2399" w:rsidRDefault="008C57B8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  <w:tbl>
            <w:tblPr>
              <w:tblW w:w="16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7173"/>
              <w:gridCol w:w="2391"/>
              <w:gridCol w:w="2391"/>
              <w:gridCol w:w="2391"/>
            </w:tblGrid>
            <w:tr w:rsidR="009B2399" w:rsidRPr="009B2399" w:rsidTr="002C7864">
              <w:trPr>
                <w:trHeight w:val="371"/>
              </w:trPr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2604CC">
                  <w:pPr>
                    <w:spacing w:after="0" w:line="240" w:lineRule="auto"/>
                    <w:ind w:left="102" w:hanging="102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Línea de base*</w:t>
                  </w:r>
                  <w:r w:rsidR="002604CC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Año 2017)</w:t>
                  </w:r>
                </w:p>
              </w:tc>
              <w:tc>
                <w:tcPr>
                  <w:tcW w:w="7173" w:type="dxa"/>
                  <w:shd w:val="clear" w:color="auto" w:fill="D9D9D9"/>
                </w:tcPr>
                <w:p w:rsidR="009B2399" w:rsidRPr="00C6209D" w:rsidRDefault="008506C1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PROGRAMACION</w:t>
                  </w:r>
                </w:p>
              </w:tc>
              <w:tc>
                <w:tcPr>
                  <w:tcW w:w="7173" w:type="dxa"/>
                  <w:gridSpan w:val="3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Programación**</w:t>
                  </w:r>
                </w:p>
              </w:tc>
            </w:tr>
            <w:tr w:rsidR="009B2399" w:rsidRPr="009B2399" w:rsidTr="002C7864">
              <w:trPr>
                <w:trHeight w:val="371"/>
              </w:trPr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Default="002604CC" w:rsidP="002604CC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Total                 N° sectores</w:t>
                  </w:r>
                </w:p>
                <w:p w:rsidR="002604CC" w:rsidRPr="00C6209D" w:rsidRDefault="002604CC" w:rsidP="008506C1">
                  <w:pPr>
                    <w:spacing w:after="0" w:line="240" w:lineRule="auto"/>
                    <w:ind w:left="1095" w:hanging="1237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Sectores             que no                                  cuentan con</w:t>
                  </w:r>
                  <w:r w:rsidR="008506C1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 xml:space="preserve"> adecuados medios de vigilancia</w:t>
                  </w:r>
                </w:p>
              </w:tc>
              <w:tc>
                <w:tcPr>
                  <w:tcW w:w="7173" w:type="dxa"/>
                  <w:shd w:val="clear" w:color="auto" w:fill="D9D9D9"/>
                </w:tcPr>
                <w:p w:rsidR="009B2399" w:rsidRPr="00C6209D" w:rsidRDefault="008506C1" w:rsidP="008506C1">
                  <w:pPr>
                    <w:spacing w:after="0" w:line="240" w:lineRule="auto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2020                                              Año 2021                                            Año 2022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1 (         )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2 (         )</w:t>
                  </w:r>
                </w:p>
              </w:tc>
              <w:tc>
                <w:tcPr>
                  <w:tcW w:w="2391" w:type="dxa"/>
                  <w:shd w:val="clear" w:color="auto" w:fill="D9D9D9"/>
                  <w:vAlign w:val="center"/>
                </w:tcPr>
                <w:p w:rsidR="009B2399" w:rsidRPr="00C6209D" w:rsidRDefault="009B2399" w:rsidP="00DC0FEF">
                  <w:pPr>
                    <w:spacing w:after="0" w:line="240" w:lineRule="auto"/>
                    <w:jc w:val="center"/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</w:pPr>
                  <w:r w:rsidRPr="00C6209D">
                    <w:rPr>
                      <w:b/>
                      <w:snapToGrid w:val="0"/>
                      <w:color w:val="000000"/>
                      <w:sz w:val="20"/>
                      <w:szCs w:val="20"/>
                    </w:rPr>
                    <w:t>Año 3 (         )</w:t>
                  </w:r>
                </w:p>
              </w:tc>
            </w:tr>
          </w:tbl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  <w:p w:rsidR="00E07F83" w:rsidRPr="009B2399" w:rsidRDefault="00E07F83" w:rsidP="00BE200D">
            <w:pPr>
              <w:spacing w:after="0" w:line="240" w:lineRule="auto"/>
              <w:jc w:val="both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*La medición de la línea de base deberá realizarse </w:t>
            </w:r>
            <w:r w:rsidR="00BE200D" w:rsidRP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hasta el nivel de desagregación distrital</w:t>
            </w:r>
            <w:r w:rsidR="00BE200D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 xml:space="preserve"> de acuerdo a la disponibilidad de información. </w:t>
            </w:r>
            <w:r w:rsidR="00F23737">
              <w:rPr>
                <w:rFonts w:ascii="Arial" w:hAnsi="Arial"/>
                <w:snapToGrid w:val="0"/>
                <w:color w:val="000000"/>
                <w:sz w:val="16"/>
                <w:szCs w:val="20"/>
                <w:lang w:val="es-PE"/>
              </w:rPr>
              <w:t>Pudiendo ser como mínimo el nivel departamental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.</w:t>
            </w:r>
          </w:p>
          <w:p w:rsidR="008C57B8" w:rsidRPr="009B2399" w:rsidRDefault="00805C5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*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La programación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metas para el indicador en los años 1, 2 y 3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deberá tener en cuenta el cierre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de brecha esperado</w:t>
            </w:r>
            <w:r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>, dado el monto programado en el servicio y tipología en mención</w:t>
            </w:r>
            <w:r w:rsidR="00E07F83" w:rsidRPr="009B2399">
              <w:rPr>
                <w:rFonts w:ascii="Arial" w:hAnsi="Arial"/>
                <w:snapToGrid w:val="0"/>
                <w:color w:val="000000"/>
                <w:sz w:val="16"/>
                <w:szCs w:val="20"/>
              </w:rPr>
              <w:t xml:space="preserve"> en el los tres próximos años.</w:t>
            </w:r>
          </w:p>
          <w:p w:rsidR="009C5DCD" w:rsidRPr="009B2399" w:rsidRDefault="009C5DCD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16"/>
                <w:szCs w:val="20"/>
              </w:rPr>
            </w:pPr>
          </w:p>
        </w:tc>
      </w:tr>
      <w:tr w:rsidR="003101EC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101EC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Justificación</w:t>
            </w:r>
          </w:p>
        </w:tc>
      </w:tr>
      <w:tr w:rsidR="005D6B45" w:rsidRPr="009B2399" w:rsidTr="005A79A9">
        <w:trPr>
          <w:cantSplit/>
          <w:trHeight w:val="144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A26C32" w:rsidRDefault="008506C1" w:rsidP="00DC0FEF">
            <w:pPr>
              <w:spacing w:after="0" w:line="240" w:lineRule="auto"/>
              <w:rPr>
                <w:rFonts w:ascii="Arial" w:hAnsi="Arial"/>
                <w:snapToGrid w:val="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sz w:val="20"/>
                <w:szCs w:val="20"/>
              </w:rPr>
              <w:t>El indicador propuesto permite medir la inversión que realiza el distrito en el marco de mejorar los servicios de seguridad ciudadana de la población. Lo que contribuirá a mejor la planificación y ejecución de Proyectos de seguridad ciudadana, cerrando así la brecha de cobertura existente para el servicio de seguridad ciudadana.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Limitaciones y Supuestos Empleados</w:t>
            </w:r>
          </w:p>
        </w:tc>
      </w:tr>
      <w:tr w:rsidR="005D6B45" w:rsidRPr="009B2399" w:rsidTr="00496B57">
        <w:trPr>
          <w:cantSplit/>
          <w:trHeight w:val="87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506C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No se dispone de datos estructurados e históricos que permitan dar cuenta acerca de los servicios de Seguridad a nivel Local.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Precisiones Técnicas</w:t>
            </w:r>
          </w:p>
        </w:tc>
      </w:tr>
      <w:tr w:rsidR="005D6B45" w:rsidRPr="009B2399" w:rsidTr="00D028C6">
        <w:trPr>
          <w:cantSplit/>
          <w:trHeight w:val="103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6C1" w:rsidRPr="009B2399" w:rsidRDefault="008506C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 xml:space="preserve">La mejor referencia que se puede utilizar para construir el indicador de brecha de servicio , es la información que se puede consultar en los censos de comisarias (CENACOM-INEI) 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Método de Cálculo</w:t>
            </w:r>
          </w:p>
        </w:tc>
      </w:tr>
      <w:tr w:rsidR="005D6B45" w:rsidRPr="009B2399" w:rsidTr="005A79A9">
        <w:trPr>
          <w:cantSplit/>
          <w:trHeight w:val="1327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06C1" w:rsidRDefault="008506C1" w:rsidP="008506C1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Indicador de brecha                                                                        Método de calculo</w:t>
            </w:r>
          </w:p>
          <w:p w:rsidR="008506C1" w:rsidRDefault="008506C1" w:rsidP="008506C1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N° de sectores a nivel del                                                         NSNMV = NSD - NSMV</w:t>
            </w:r>
          </w:p>
          <w:p w:rsidR="008506C1" w:rsidRDefault="008506C1" w:rsidP="008506C1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Distrito que no cuenta con</w:t>
            </w:r>
          </w:p>
          <w:p w:rsidR="005D6B45" w:rsidRPr="009B2399" w:rsidRDefault="008506C1" w:rsidP="008506C1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Adecuado medios de vigilancia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Periodicidad de las Mediciones</w:t>
            </w:r>
          </w:p>
        </w:tc>
      </w:tr>
      <w:tr w:rsidR="005D6B45" w:rsidRPr="009B2399" w:rsidTr="005A79A9">
        <w:trPr>
          <w:cantSplit/>
          <w:trHeight w:val="74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506C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La periodicidad en la medición del indicador será anual.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Fuente de Datos</w:t>
            </w:r>
          </w:p>
        </w:tc>
      </w:tr>
      <w:tr w:rsidR="005D6B45" w:rsidRPr="009B2399" w:rsidTr="00496B57">
        <w:trPr>
          <w:cantSplit/>
          <w:trHeight w:val="8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8506C1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Ministerio del interior , INEI Gerencia de seguridad Ciudadana de la Municipalidad.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385CA4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Base de Datos</w:t>
            </w:r>
          </w:p>
          <w:p w:rsidR="00822B6D" w:rsidRDefault="001D2DA7" w:rsidP="00822B6D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Señalar el lin</w:t>
            </w:r>
            <w:r w:rsidR="00D028C6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k de la publicación de la base; 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 xml:space="preserve">si </w:t>
            </w:r>
            <w:r w:rsidR="003766A6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la base de datos no se encuentra publicada, adjuntar el archivo correspondiente en formato excel, stata o spss en un CD</w:t>
            </w:r>
            <w:r w:rsidR="009C5DCD"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</w:t>
            </w:r>
            <w:r w:rsidR="00822B6D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.</w:t>
            </w:r>
          </w:p>
          <w:p w:rsidR="005D6B45" w:rsidRPr="00822B6D" w:rsidRDefault="00822B6D" w:rsidP="00DC0FEF">
            <w:pPr>
              <w:spacing w:after="0" w:line="240" w:lineRule="auto"/>
              <w:rPr>
                <w:rFonts w:ascii="Arial" w:hAnsi="Arial"/>
                <w:snapToGrid w:val="0"/>
                <w:color w:val="FFFFFF"/>
                <w:sz w:val="16"/>
                <w:szCs w:val="20"/>
              </w:rPr>
            </w:pPr>
            <w:r w:rsidRPr="009B2399"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(Incluir los valores de las variables que participan en el método de cálculo empleado para su obtención</w:t>
            </w:r>
            <w:r>
              <w:rPr>
                <w:rFonts w:ascii="Arial" w:hAnsi="Arial"/>
                <w:snapToGrid w:val="0"/>
                <w:color w:val="FFFFFF"/>
                <w:sz w:val="16"/>
                <w:szCs w:val="20"/>
              </w:rPr>
              <w:t>).</w:t>
            </w:r>
          </w:p>
        </w:tc>
      </w:tr>
      <w:tr w:rsidR="005D6B45" w:rsidRPr="009B2399" w:rsidTr="006428DC">
        <w:trPr>
          <w:cantSplit/>
          <w:trHeight w:val="823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2C7864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Información proporcionada por el MININTER.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Instrumento de Recolección de Información</w:t>
            </w:r>
          </w:p>
        </w:tc>
      </w:tr>
      <w:tr w:rsidR="005D6B45" w:rsidRPr="009B2399" w:rsidTr="006428DC">
        <w:trPr>
          <w:cantSplit/>
          <w:trHeight w:val="776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6B45" w:rsidRPr="009B2399" w:rsidRDefault="002C7864" w:rsidP="00DC0FEF">
            <w:pPr>
              <w:spacing w:after="0" w:line="24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napToGrid w:val="0"/>
                <w:color w:val="000000"/>
                <w:sz w:val="20"/>
                <w:szCs w:val="20"/>
              </w:rPr>
              <w:t>Documento en formato Word.</w:t>
            </w:r>
          </w:p>
        </w:tc>
      </w:tr>
      <w:tr w:rsidR="005D6B45" w:rsidRPr="009B2399" w:rsidTr="001851CA">
        <w:trPr>
          <w:cantSplit/>
          <w:trHeight w:val="365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5D6B45" w:rsidRPr="009B2399" w:rsidRDefault="00E46C61" w:rsidP="00DC0FEF">
            <w:pPr>
              <w:spacing w:after="0" w:line="240" w:lineRule="auto"/>
              <w:rPr>
                <w:rFonts w:ascii="Arial" w:hAnsi="Arial"/>
                <w:b/>
                <w:snapToGrid w:val="0"/>
                <w:color w:val="FFFFFF"/>
                <w:sz w:val="20"/>
                <w:szCs w:val="20"/>
              </w:rPr>
            </w:pPr>
            <w:r w:rsidRPr="009B2399">
              <w:rPr>
                <w:rFonts w:ascii="Arial" w:hAnsi="Arial"/>
                <w:b/>
                <w:snapToGrid w:val="0"/>
                <w:color w:val="FFFFFF"/>
                <w:szCs w:val="20"/>
              </w:rPr>
              <w:t>Sintaxis</w:t>
            </w:r>
          </w:p>
        </w:tc>
      </w:tr>
    </w:tbl>
    <w:p w:rsidR="002C7864" w:rsidRPr="002C7864" w:rsidRDefault="002C7864" w:rsidP="0066654E">
      <w:pPr>
        <w:spacing w:after="120" w:line="240" w:lineRule="auto"/>
        <w:rPr>
          <w:sz w:val="16"/>
          <w:szCs w:val="16"/>
        </w:rPr>
      </w:pPr>
      <w:bookmarkStart w:id="0" w:name="_GoBack"/>
      <w:bookmarkEnd w:id="0"/>
    </w:p>
    <w:sectPr w:rsidR="002C7864" w:rsidRPr="002C7864" w:rsidSect="002C7864">
      <w:pgSz w:w="11906" w:h="16838"/>
      <w:pgMar w:top="42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E6" w:rsidRDefault="00417EE6" w:rsidP="00ED2218">
      <w:pPr>
        <w:spacing w:after="0" w:line="240" w:lineRule="auto"/>
      </w:pPr>
      <w:r>
        <w:separator/>
      </w:r>
    </w:p>
  </w:endnote>
  <w:endnote w:type="continuationSeparator" w:id="0">
    <w:p w:rsidR="00417EE6" w:rsidRDefault="00417EE6" w:rsidP="00ED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E6" w:rsidRDefault="00417EE6" w:rsidP="00ED2218">
      <w:pPr>
        <w:spacing w:after="0" w:line="240" w:lineRule="auto"/>
      </w:pPr>
      <w:r>
        <w:separator/>
      </w:r>
    </w:p>
  </w:footnote>
  <w:footnote w:type="continuationSeparator" w:id="0">
    <w:p w:rsidR="00417EE6" w:rsidRDefault="00417EE6" w:rsidP="00ED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3D71"/>
    <w:multiLevelType w:val="hybridMultilevel"/>
    <w:tmpl w:val="D33E6C74"/>
    <w:lvl w:ilvl="0" w:tplc="80221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32370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0930"/>
    <w:multiLevelType w:val="hybridMultilevel"/>
    <w:tmpl w:val="4D680430"/>
    <w:lvl w:ilvl="0" w:tplc="0BDC70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74568"/>
    <w:multiLevelType w:val="hybridMultilevel"/>
    <w:tmpl w:val="65560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A2727"/>
    <w:multiLevelType w:val="hybridMultilevel"/>
    <w:tmpl w:val="792E7FF4"/>
    <w:lvl w:ilvl="0" w:tplc="F98AD7B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E5961"/>
    <w:multiLevelType w:val="hybridMultilevel"/>
    <w:tmpl w:val="2096609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57816"/>
    <w:multiLevelType w:val="hybridMultilevel"/>
    <w:tmpl w:val="74660F30"/>
    <w:lvl w:ilvl="0" w:tplc="57CA58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060F5"/>
    <w:multiLevelType w:val="hybridMultilevel"/>
    <w:tmpl w:val="C1FA4CEC"/>
    <w:lvl w:ilvl="0" w:tplc="F98AD7B0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F4"/>
    <w:rsid w:val="00055715"/>
    <w:rsid w:val="000A4A3D"/>
    <w:rsid w:val="000A6746"/>
    <w:rsid w:val="000E3EEB"/>
    <w:rsid w:val="000E5DF1"/>
    <w:rsid w:val="0010075A"/>
    <w:rsid w:val="00107E50"/>
    <w:rsid w:val="00136088"/>
    <w:rsid w:val="00146BED"/>
    <w:rsid w:val="001477B4"/>
    <w:rsid w:val="001851CA"/>
    <w:rsid w:val="001866ED"/>
    <w:rsid w:val="001970A8"/>
    <w:rsid w:val="001A0CC2"/>
    <w:rsid w:val="001D2DA7"/>
    <w:rsid w:val="001E07AA"/>
    <w:rsid w:val="001F217E"/>
    <w:rsid w:val="001F5EC7"/>
    <w:rsid w:val="00217F7C"/>
    <w:rsid w:val="00227001"/>
    <w:rsid w:val="002604CC"/>
    <w:rsid w:val="00265A3F"/>
    <w:rsid w:val="00284E47"/>
    <w:rsid w:val="00296FE1"/>
    <w:rsid w:val="002B64E4"/>
    <w:rsid w:val="002C7864"/>
    <w:rsid w:val="002E5C61"/>
    <w:rsid w:val="00306BE5"/>
    <w:rsid w:val="003101EC"/>
    <w:rsid w:val="00341C9B"/>
    <w:rsid w:val="00344221"/>
    <w:rsid w:val="00346300"/>
    <w:rsid w:val="00371D17"/>
    <w:rsid w:val="003766A6"/>
    <w:rsid w:val="00385CA4"/>
    <w:rsid w:val="00391B71"/>
    <w:rsid w:val="00392763"/>
    <w:rsid w:val="003A56DB"/>
    <w:rsid w:val="003F6885"/>
    <w:rsid w:val="004026D5"/>
    <w:rsid w:val="00417EE6"/>
    <w:rsid w:val="00424BD9"/>
    <w:rsid w:val="00426D33"/>
    <w:rsid w:val="00437413"/>
    <w:rsid w:val="00437B89"/>
    <w:rsid w:val="0046014F"/>
    <w:rsid w:val="0047583D"/>
    <w:rsid w:val="004876C4"/>
    <w:rsid w:val="00496191"/>
    <w:rsid w:val="00496B57"/>
    <w:rsid w:val="004C3BCD"/>
    <w:rsid w:val="004C6BF4"/>
    <w:rsid w:val="004C6E6A"/>
    <w:rsid w:val="0050211C"/>
    <w:rsid w:val="0050587D"/>
    <w:rsid w:val="0050724D"/>
    <w:rsid w:val="00532D84"/>
    <w:rsid w:val="00596CE6"/>
    <w:rsid w:val="005A79A9"/>
    <w:rsid w:val="005D6B45"/>
    <w:rsid w:val="00612EDB"/>
    <w:rsid w:val="00627DB0"/>
    <w:rsid w:val="006331BD"/>
    <w:rsid w:val="006428DC"/>
    <w:rsid w:val="00664CE7"/>
    <w:rsid w:val="0066654E"/>
    <w:rsid w:val="00674563"/>
    <w:rsid w:val="0069372B"/>
    <w:rsid w:val="006A4F56"/>
    <w:rsid w:val="006A52B4"/>
    <w:rsid w:val="006B1092"/>
    <w:rsid w:val="006B4FFF"/>
    <w:rsid w:val="006E4588"/>
    <w:rsid w:val="006F5FC9"/>
    <w:rsid w:val="00706747"/>
    <w:rsid w:val="00774947"/>
    <w:rsid w:val="007C01BE"/>
    <w:rsid w:val="007E0034"/>
    <w:rsid w:val="007E51ED"/>
    <w:rsid w:val="00805C51"/>
    <w:rsid w:val="00814C79"/>
    <w:rsid w:val="00822B6D"/>
    <w:rsid w:val="008506C1"/>
    <w:rsid w:val="00850FE9"/>
    <w:rsid w:val="00865DE3"/>
    <w:rsid w:val="00876908"/>
    <w:rsid w:val="008C0FA9"/>
    <w:rsid w:val="008C57B8"/>
    <w:rsid w:val="008F0A5E"/>
    <w:rsid w:val="00917622"/>
    <w:rsid w:val="00917A0C"/>
    <w:rsid w:val="00925DC8"/>
    <w:rsid w:val="009615F6"/>
    <w:rsid w:val="009A315A"/>
    <w:rsid w:val="009A34AE"/>
    <w:rsid w:val="009B2399"/>
    <w:rsid w:val="009C04C3"/>
    <w:rsid w:val="009C5DCD"/>
    <w:rsid w:val="009E00AB"/>
    <w:rsid w:val="009E4717"/>
    <w:rsid w:val="00A06F52"/>
    <w:rsid w:val="00A26C32"/>
    <w:rsid w:val="00A453CE"/>
    <w:rsid w:val="00A62FDF"/>
    <w:rsid w:val="00A94F65"/>
    <w:rsid w:val="00A95CF3"/>
    <w:rsid w:val="00AA5671"/>
    <w:rsid w:val="00B058F8"/>
    <w:rsid w:val="00B11653"/>
    <w:rsid w:val="00B14432"/>
    <w:rsid w:val="00B2118B"/>
    <w:rsid w:val="00B7578F"/>
    <w:rsid w:val="00BE200D"/>
    <w:rsid w:val="00C17FA7"/>
    <w:rsid w:val="00C6209D"/>
    <w:rsid w:val="00C66487"/>
    <w:rsid w:val="00C74079"/>
    <w:rsid w:val="00C7768A"/>
    <w:rsid w:val="00C779E8"/>
    <w:rsid w:val="00C83A6A"/>
    <w:rsid w:val="00D028C6"/>
    <w:rsid w:val="00D223F4"/>
    <w:rsid w:val="00D57DD3"/>
    <w:rsid w:val="00D6087E"/>
    <w:rsid w:val="00D736AE"/>
    <w:rsid w:val="00DB0E95"/>
    <w:rsid w:val="00DC0FEF"/>
    <w:rsid w:val="00DD2717"/>
    <w:rsid w:val="00DE042A"/>
    <w:rsid w:val="00E07F83"/>
    <w:rsid w:val="00E46C61"/>
    <w:rsid w:val="00E65737"/>
    <w:rsid w:val="00EB1FEA"/>
    <w:rsid w:val="00EC0AC0"/>
    <w:rsid w:val="00EC601D"/>
    <w:rsid w:val="00ED2218"/>
    <w:rsid w:val="00ED739C"/>
    <w:rsid w:val="00EE713F"/>
    <w:rsid w:val="00EF0A6B"/>
    <w:rsid w:val="00F02143"/>
    <w:rsid w:val="00F23737"/>
    <w:rsid w:val="00F513E4"/>
    <w:rsid w:val="00F56A78"/>
    <w:rsid w:val="00F6270B"/>
    <w:rsid w:val="00F63B09"/>
    <w:rsid w:val="00F87B05"/>
    <w:rsid w:val="00FA774F"/>
    <w:rsid w:val="00FB6F01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05F8D-B5F5-481F-A83F-0E50FBF2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A94F65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A567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E4717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unhideWhenUsed/>
    <w:rsid w:val="00ED22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D2218"/>
    <w:rPr>
      <w:sz w:val="20"/>
      <w:szCs w:val="20"/>
    </w:rPr>
  </w:style>
  <w:style w:type="character" w:styleId="Refdenotaalpie">
    <w:name w:val="footnote reference"/>
    <w:semiHidden/>
    <w:unhideWhenUsed/>
    <w:rsid w:val="00ED2218"/>
    <w:rPr>
      <w:vertAlign w:val="superscript"/>
    </w:rPr>
  </w:style>
  <w:style w:type="character" w:styleId="Hipervnculo">
    <w:name w:val="Hyperlink"/>
    <w:uiPriority w:val="99"/>
    <w:unhideWhenUsed/>
    <w:rsid w:val="009E00AB"/>
    <w:rPr>
      <w:color w:val="0563C1"/>
      <w:u w:val="single"/>
    </w:rPr>
  </w:style>
  <w:style w:type="paragraph" w:customStyle="1" w:styleId="Prrafodelista1">
    <w:name w:val="Párrafo de lista1"/>
    <w:basedOn w:val="Normal"/>
    <w:uiPriority w:val="99"/>
    <w:qFormat/>
    <w:rsid w:val="00136088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Ttulo1Car">
    <w:name w:val="Título 1 Car"/>
    <w:link w:val="Ttulo1"/>
    <w:rsid w:val="00A94F65"/>
    <w:rPr>
      <w:rFonts w:ascii="Century Gothic" w:eastAsia="Times New Roman" w:hAnsi="Century Gothic" w:cs="Times New Roman"/>
      <w:b/>
      <w:smallCaps/>
      <w:snapToGrid w:val="0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CCBC8-E08B-4324-9F75-873224D9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Links>
    <vt:vector size="6" baseType="variant"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https://www.mef.gob.pe/contenidos/presu_publ/ppr/guia_seg_publicacion.pdf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Dany-Catastro</dc:creator>
  <cp:keywords/>
  <dc:description/>
  <cp:lastModifiedBy>PC</cp:lastModifiedBy>
  <cp:revision>3</cp:revision>
  <cp:lastPrinted>2019-03-15T14:30:00Z</cp:lastPrinted>
  <dcterms:created xsi:type="dcterms:W3CDTF">2019-03-15T14:31:00Z</dcterms:created>
  <dcterms:modified xsi:type="dcterms:W3CDTF">2019-03-15T15:02:00Z</dcterms:modified>
</cp:coreProperties>
</file>